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各医疗机构、医药生产、经营企业：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根据企业提交的变更申请，对江苏豪森药业集团有限公司等企业的挂网信息进行调整，公示期3天，公示期内接受各方投诉质疑。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特此通知！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3840" w:hanging="3840" w:hangingChars="1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省公共资源交易中心（省政府采购中心）         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药品器械</w:t>
      </w:r>
      <w:r>
        <w:rPr>
          <w:rFonts w:hint="eastAsia" w:ascii="仿宋" w:hAnsi="仿宋" w:eastAsia="仿宋"/>
          <w:sz w:val="32"/>
          <w:szCs w:val="32"/>
        </w:rPr>
        <w:t>采购处</w:t>
      </w:r>
    </w:p>
    <w:p>
      <w:pPr>
        <w:ind w:left="3840" w:hanging="3840" w:hangingChars="1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2021年8月3日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ind w:right="128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               </w:t>
      </w:r>
    </w:p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6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00"/>
        <w:gridCol w:w="729"/>
        <w:gridCol w:w="1219"/>
        <w:gridCol w:w="677"/>
        <w:gridCol w:w="693"/>
        <w:gridCol w:w="966"/>
        <w:gridCol w:w="1760"/>
        <w:gridCol w:w="1053"/>
        <w:gridCol w:w="1757"/>
        <w:gridCol w:w="3487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流水号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实际通用名</w:t>
            </w:r>
          </w:p>
        </w:tc>
        <w:tc>
          <w:tcPr>
            <w:tcW w:w="7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实际剂型</w:t>
            </w:r>
          </w:p>
        </w:tc>
        <w:tc>
          <w:tcPr>
            <w:tcW w:w="121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实际规格</w:t>
            </w:r>
          </w:p>
        </w:tc>
        <w:tc>
          <w:tcPr>
            <w:tcW w:w="6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转换系数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包装单位</w:t>
            </w:r>
          </w:p>
        </w:tc>
        <w:tc>
          <w:tcPr>
            <w:tcW w:w="9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申报企业注册号</w:t>
            </w:r>
          </w:p>
        </w:tc>
        <w:tc>
          <w:tcPr>
            <w:tcW w:w="1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申报企业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生产企业注册号</w:t>
            </w: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34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93214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依替巴肽注射液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10ml:20mg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S0009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S0009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产品申报企业变更，上市许可持有人变更为山西德元堂药业有限公司(s1003)其他不变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200297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依那西普注射液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0.47ml: 25mg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J0383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北京科园信海医药经营有限公司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SJ577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Pfizer Ireland Pharmaceuticals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进口产品变更生产企业，变更后生产企业为</w:t>
            </w:r>
            <w:r>
              <w:rPr>
                <w:rFonts w:ascii="Lucida Sans" w:hAnsi="Lucida Sans" w:eastAsia="Lucida Sans" w:cs="Lucida Sans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Pfizer Manufacturing Belgium NV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Lucida Sans" w:hAnsi="Lucida Sans" w:eastAsia="Lucida Sans" w:cs="Lucida Sans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SJ287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200298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依那西普注射液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0.94ml: 50mg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J0383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北京科园信海医药经营有限公司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SJ577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Pfizer Ireland Pharmaceuticals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进口产品变更生产企业，变更后生产企业为</w:t>
            </w:r>
            <w:r>
              <w:rPr>
                <w:rFonts w:ascii="Lucida Sans" w:hAnsi="Lucida Sans" w:eastAsia="Lucida Sans" w:cs="Lucida Sans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Pfizer Manufacturing Belgium NV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="Lucida Sans" w:hAnsi="Lucida Sans" w:eastAsia="Lucida Sans" w:cs="Lucida Sans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SJ287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63636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105489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重组人粒细胞刺激因子注射液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75μg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通用名变更，变更后通用名为人粒细胞刺激因子注射液，其他不变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105508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重组人粒细胞刺激因子注射液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300μg/1ml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通用名变更，变更后通用名为人粒细胞刺激因子注射液，其他不变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105521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重组人粒细胞刺激因子注射液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0.15mg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S3547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江苏吴中医药集团有限公司苏州中凯生物制药厂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通用名变更，变更后通用名为人粒细胞刺激因子注射液，其他不变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重组人粒细胞刺激因子注射液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75μg/0.3ml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S1821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麒麟鲲鹏(中国)生物药业有限公司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S1821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麒麟鲲鹏(中国)生物药业有限公司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通用名变更，变更后通用名为人粒细胞刺激因子注射液，其他不变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重组人粒细胞刺激因子注射液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注射液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0.15mg/0.6ml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S1821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麒麟鲲鹏(中国)生物药业有限公司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S1821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麒麟鲲鹏(中国)生物药业有限公司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通用名变更，变更后通用名为人粒细胞刺激因子注射液，其他不变</w:t>
            </w:r>
          </w:p>
        </w:tc>
      </w:tr>
    </w:tbl>
    <w:p/>
    <w:tbl>
      <w:tblPr>
        <w:tblpPr w:leftFromText="180" w:rightFromText="180" w:vertAnchor="text" w:horzAnchor="page" w:tblpX="2137" w:tblpY="531"/>
        <w:tblOverlap w:val="never"/>
        <w:tblW w:w="11790" w:type="dxa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4920"/>
        <w:gridCol w:w="4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企业注册号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原企业名称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变更后企业名称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协和发酵麒麟（中国）制药有限公司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协和麒麟（中国）制药有限公司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S3901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启迪古汉集团衡阳中药有限公司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古汉中药有限公司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协和药业有限公司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纽哈伯药业有限公司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重庆康刻尔制药有限公司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企业新名称：重庆康刻尔制药股份有限公司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江西品信药业有限公司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江西品信药业股份有限公司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湖北医十药业有限公司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湖北圆心医十药业有限公司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湖北格奥欣医药供应链管理有限公司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安陆泰捷医药有限公司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C797F"/>
    <w:rsid w:val="674C7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Lucida Sans" w:hAnsi="Lucida Sans" w:eastAsia="Lucida Sans" w:cs="Lucida Sans"/>
      <w:color w:val="363636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36363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2021-08-03T07:27:00Z</dcterms:created>
  <dc:creator>sarah</dc:creator>
  <cp:lastModifiedBy>sarah</cp:lastModifiedBy>
  <dcterms:modified xsi:type="dcterms:W3CDTF">2021-08-03T07:35:00Z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9B52C9500C9040F2A0B2A81F4DB5C887</vt:lpwstr>
  </property>
</Properties>
</file>