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医疗机构端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说明：该功能用于医疗机构（第六批集采首年有协议量的）对第六批第二个协议期确认协议量。医疗机构填报确认操作完成后，即可维护合同和查看胰岛素续约监测量数据。逾期未操作的7月26日起维护合同。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登录系统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打开网址https://www.hbyxjzcg.cn:801/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，输入用户名，密码，验</w:t>
      </w:r>
    </w:p>
    <w:p>
      <w:pPr>
        <w:jc w:val="both"/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证码。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点击登录按钮，</w:t>
      </w:r>
      <w:r>
        <w:rPr>
          <w:rFonts w:hint="eastAsia" w:ascii="宋体" w:hAnsi="宋体" w:eastAsia="宋体" w:cs="宋体"/>
          <w:sz w:val="28"/>
          <w:szCs w:val="28"/>
        </w:rPr>
        <w:t>登录系统，如图（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）所示：</w:t>
      </w:r>
    </w:p>
    <w:p>
      <w:r>
        <w:drawing>
          <wp:inline distT="0" distB="0" distL="114300" distR="114300">
            <wp:extent cx="5264150" cy="2378075"/>
            <wp:effectExtent l="0" t="0" r="889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t>图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</w:t>
      </w:r>
    </w:p>
    <w:p>
      <w:pPr>
        <w:jc w:val="center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确认续约协议量数据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国家带量采购专区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胰岛素续约协议量填报确认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</w:rPr>
        <w:t>菜单，进入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约定量填报确认</w:t>
      </w:r>
      <w:r>
        <w:rPr>
          <w:rFonts w:hint="eastAsia" w:ascii="宋体" w:hAnsi="宋体" w:eastAsia="宋体" w:cs="宋体"/>
          <w:sz w:val="28"/>
          <w:szCs w:val="28"/>
        </w:rPr>
        <w:t>页面，如图（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）所示。</w:t>
      </w:r>
    </w:p>
    <w:p>
      <w:r>
        <w:drawing>
          <wp:inline distT="0" distB="0" distL="114300" distR="114300">
            <wp:extent cx="5266690" cy="2386330"/>
            <wp:effectExtent l="0" t="0" r="635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图（2）</w:t>
      </w:r>
    </w:p>
    <w:p>
      <w:pPr>
        <w:jc w:val="both"/>
        <w:rPr>
          <w:rFonts w:hint="eastAsia"/>
        </w:rPr>
      </w:pP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说明：该页面默认展示各医院国家带量采购第六批首年报量数据，医疗机构可对首年报量进行修改（只能在首年报量数据基础上增加量），后点击保存即可。</w:t>
      </w:r>
    </w:p>
    <w:p>
      <w:r>
        <w:drawing>
          <wp:inline distT="0" distB="0" distL="114300" distR="114300">
            <wp:extent cx="5264150" cy="2392045"/>
            <wp:effectExtent l="0" t="0" r="8890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图（4）</w:t>
      </w:r>
    </w:p>
    <w:p/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新增续约报量数据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医疗机构可新增第六批国家带量采购其他首年未报量品种的约定量。点击【新增协议量】按钮，选择对应的分组后，填写数量，进行保存。如图5、图6所示。</w:t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0340" cy="2171065"/>
            <wp:effectExtent l="0" t="0" r="12700" b="825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图（5）</w:t>
      </w:r>
    </w:p>
    <w:p>
      <w:r>
        <w:drawing>
          <wp:inline distT="0" distB="0" distL="114300" distR="114300">
            <wp:extent cx="5274310" cy="2388870"/>
            <wp:effectExtent l="0" t="0" r="13970" b="38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图（6）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对于新增的报量需点击【保存】进行确认操作，如图7所示。</w:t>
      </w:r>
    </w:p>
    <w:p>
      <w:r>
        <w:drawing>
          <wp:inline distT="0" distB="0" distL="114300" distR="114300">
            <wp:extent cx="5266690" cy="2394585"/>
            <wp:effectExtent l="0" t="0" r="6350" b="1333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图（7）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上述操作完成之后可前往【采购目录管理】【常用采购目录管理】菜单选择对应的药品，勾选配送企业后生成的合同进行确认操作。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A7DAE"/>
    <w:multiLevelType w:val="multilevel"/>
    <w:tmpl w:val="158A7DA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jU1MDhiNDc4ZmQxMGE2OGUzNTBjY2QxYzYzNDIifQ=="/>
  </w:docVars>
  <w:rsids>
    <w:rsidRoot w:val="00000000"/>
    <w:rsid w:val="22A91E28"/>
    <w:rsid w:val="2A2C6DA5"/>
    <w:rsid w:val="43897289"/>
    <w:rsid w:val="4C042F80"/>
    <w:rsid w:val="513364FA"/>
    <w:rsid w:val="599607EE"/>
    <w:rsid w:val="686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392</Characters>
  <Lines>0</Lines>
  <Paragraphs>0</Paragraphs>
  <TotalTime>8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2023-07-17T00:55:00Z</dcterms:created>
  <dc:creator>ELIAN</dc:creator>
  <cp:lastModifiedBy>sarah</cp:lastModifiedBy>
  <dcterms:modified xsi:type="dcterms:W3CDTF">2023-07-17T02:10:01Z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2F24333FB74046D19177AA52BA03FC5F_12</vt:lpwstr>
  </property>
</Properties>
</file>